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67 vom 24. Mai 2023</w:t>
      </w:r>
    </w:p>
    <w:p>
      <w:r>
        <w:t>VS Kantonsgericht, 2023-05-24, FR</w:t>
      </w:r>
    </w:p>
    <w:p>
      <w:r>
        <w:rPr>
          <w:b/>
        </w:rPr>
        <w:t xml:space="preserve">Quelle: </w:t>
      </w:r>
      <w:r>
        <w:t>https://mcp.opencaselaw.ch/entscheid/vs_gerichte_S1 21 67</w:t>
      </w:r>
    </w:p>
    <w:p>
      <w:r>
        <w:t>FR: VS_GERICHTE S1 21 67 du 24 mai 2023</w:t>
      </w:r>
    </w:p>
    <w:p>
      <w:r>
        <w:t>IT: VS_GERICHTE S1 21 67 del 24 maggio 2023</w:t>
      </w:r>
    </w:p>
    <w:p>
      <w:pPr>
        <w:pStyle w:val="Heading2"/>
      </w:pPr>
      <w:r>
        <w:t>Regeste</w:t>
      </w:r>
    </w:p>
    <w:p>
      <w:r>
        <w:t>S1 21 67 JUGEMENT DU 24 MAI 2023 Tribunal cantonal du Valais Cour des assurances sociales Composition : Candido Prada, président ; Thomas Brunner et Christophe Joris, juges ; Pierre-André Moix, greffier en la cause X _________, recourant contre OFFICE CANTONAL AI DU VALAIS, 1950 Sion, intimé (Refus de rente et de mesures d’ordre professionnel)</w:t>
      </w:r>
    </w:p>
    <w:p>
      <w:pPr>
        <w:pStyle w:val="Heading2"/>
      </w:pPr>
      <w:r>
        <w:t>Erwägungen</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w:t>
      </w:r>
    </w:p>
    <w:p>
      <w:r>
        <w:t>- 9 - examen médical auquel il arrive au SMR de procéder (art. 49 al. 2 RAI ; arrêt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9C_518/2007 du 14 juillet 2008 consid. 3.2 et 9C_25/2015 du 1er mai 2015 consid. 4.1 ; Valterio, Droit de l'assurance-vieillesse et survivants [AVS] et de l'assurance-invalidité [AI], 2011, n° 2920). 3.4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9C_748/2013 du 10 février 2014 consid. 4.1.1 et 4.1.2, I 131/03 du 22 mars 2004 consid. 2.2). Le simple fait qu'un ou plusieurs avis médicaux divergents ont été produits – même émanant de spécialistes – ne suffit cependant pas à lui seul à remettre en cause la valeur probante d’une</w:t>
      </w:r>
    </w:p>
    <w:p>
      <w:r>
        <w:t>- 10 - expertise médicale (arrêts 9C_748/2013 cité consid. 4.1.1,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pas non plus ouverte à la personne assurée. La nécessité d’administrer une nouvelle expertise dépend de la question de savoir si celle qui se trouve déjà au dossier remplit les exigences de forme et de fond posées pour la valeur probante d’une expertise médicale (arrêt U 571/06 du 29 mai 2007 consid. 4.2 et les références). Au sujet des rapports établis par les médecins traitants, il est constant d’après la jurisprudence que ceux-ci sont généralement enclins, en cas de doute, à prendre parti pour leur patient en raison de la relation de confiance qui les unit à ce dernier (ATF 125 V 351 consid. 3b/cc et les références citées). Cette constatation s'applique de même aux médecins non traitants consultés par l'assuré en vue d'obtenir un moyen de preuve à l'appui de sa requête (arrêt 8C_558/2008 du 17 mars 2009 consid. 2.4.2). Toutefois le simple fait qu'un certificat médical est établi à la demande d'une partie et est produit pendant la procédure ne justifie pas en soi des doutes quant à sa valeur probante (ATF 125 V 351 consid. 3b/dd et les références citées, voir également arrêt 9C_24/2008 du 27 mai 2008 consid. 2.3.2). 4. En l’espèce, il n’est pas contesté que le recourant souffre d’un syndrome lombo- vertébral et cervico-brachial, qui sont de nature à justifier des limitations fonctionnelles dans le cadre d’une activité professionnelle. Tant le Dr C _________ que le SMR ont d’ailleurs estimé que le port de charge devait être limité à 10-15 kg, qu’il convenait d’alterner les positions et que les travaux en porte-à-faux et en rotation du tronc ainsi qu’avec des vibrations devaient être évités. Cependant, de l’avis du SMR et du Dr C _________, une activité adaptée reste possible. Le Dr D _________, neurologue traitant, a reconnu dans son rapport du 9 décembre 2019 que l’IRM cérébrale du recourant était dans la norme et que les troubles sensitifs hémicorporels et les fourmillements aux extrémités ne pouvaient être expliqués. Il a évoqué de nombreux facteurs de stress, un rejet scolaire, de la difficulté à s’insérer dans un parcours professionnel épanouissant, une rupture sentimentale humiliante, la perte du réseau social, soit autant d’éléments psychoaffectifs qui sont parmi les plus forts promoteurs de déséquilibres immunitaires et de troubles d’allure « fonctionnelle ». Il a</w:t>
      </w:r>
    </w:p>
    <w:p>
      <w:r>
        <w:t>- 11 - ainsi proposé à son patient de travailler dans des registres d’ordre psychoaffectif, social, professionnel, afin de trouver un meilleur équilibre dans sa vie. Dans un avis du 31 octobre 2020, il a estimé que l’incapacité de travail était entière dans le métier de réceptionniste pratiqué en dernier, mais n’a pas pris position sur une éventuelle capacité de travail dans un emploi adapté. Il a également pronostiqué un très bon potentiel de réadaptation si son patient était accompagné, soutenu, encouragé et reconnu, ce qui rejoint sa précédente appréciation selon laquelle ce ne sont pas les troubles lombaires et cervicaux qui pourraient engendrer une incapacité totale de travail, mais d’autres problématiques liées à certains facteurs de stress déjà mentionnés et pour lesquels aucune incapacité de travail n’a jamais été attestée. Compte tenu de ces considérations, émanant de l’un des médecins traitants du recourant, et des avis convergents du Dr C _________ et du SMR, la Cour de céans considère que les plaintes de l’assuré sont dépourvues de socle objectif pouvant justifier une incapacité totale de travail dans toute activité et que les conclusions claires et cohérentes de l’expertise du Dr C _________ doivent être suivies, son rapport jouissant d’une entière valeur probante dès lors qu’il a été établi en connaissance de l’anamnèse et des autres pièces du dossier, notamment les IRM déjà pratiquées, et a décrit les plaintes de l’assuré pour en déduire qu’une activité adaptée restait possible. Aucun autre avis médical ne vient véritablement contredire cette expertise, qui plus est corroborée par le SMR, de sorte que c’est à bon droit que l’OAI en a suivi les conclusions. Au cours de la procédure de recours, le recourant a produit un rapport du 28 juin 2021 établi par les Drs I _________ et J _________ de la clinique universitaire de neurologie de H _________. Ces derniers ont décrit un syndrome de douleur chronique récurrente, tout en constatant qu’aucun déficit clair ne pouvait être objectivé, les résultats des tests étant incohérents et peu explicables d’un point de vue anatomique. Faute de diagnostic clair se reposant sur des observations cliniques non équivoques, il est naturel que cette appréciation n’ait pas conduit le SMR à modifier ses conclusions précédentes. De l’avis de la Cour de céans, l’avis du SMR continue ainsi à jouir d’une entière valeur probante et les constatations des spécialistes bernois, qui d’ailleurs restent vagues et ne contiennent aucune conclusion claire quant à la capacité de travail de l’intéressé, ne sauraient invalider cet avis pris en connaissance de l’entier du dossier du recourant. C’est ainsi à juste titre que l’OAI a estimé qu’il pouvait œuvrer dans un emploi adapté et lui a refusé l’octroi d’une rente d’invalidité.</w:t>
      </w:r>
    </w:p>
    <w:p>
      <w:r>
        <w:t>- 12 - 5.1 Dans son recours à l’encontre de la décision de refus de mesures d’ordre professionnel, le recourant a insisté sur son incapacité totale de travail dans toute activité. Ses arguments se recoupent ainsi avec ceux décrits à l’encontre de la décision de refus de rente. 5.2 Selon l’article 17 alinéa 1 LAI, l’assuré a droit au reclassement dans une nouvelle profession si son invalidité rend cette mesure nécessaire et que sa capacité de gain peut ainsi, selon toute vraisemblance, être maintenue ou améliorée. Est réputé invalide au sens de l’article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 130 V 488 consid. 4.2 et arrêt 9C_262/2016 du 30 août 2016 consid. 5.1). Comme exposé ci-dessus, la Cour de céans considère que la capacité de travail du recourant est entière dans une activité adaptée, et son degré d’invalidité n’atteint pas le seuil de 20% requis par la jurisprudence. C’est donc également à bon droit que l’OAI lui a refusé des mesures d’ordre professionnel, étant en outre précisé que de telles mesures ne seraient pas susceptibles d’améliorer sa capacité de gain, compte tenu de sa formation déjà acquise.</w:t>
      </w:r>
    </w:p>
    <w:p>
      <w:r>
        <w:rPr>
          <w:b/>
        </w:rPr>
        <w:t>E. 6.1</w:t>
      </w:r>
    </w:p>
    <w:p>
      <w:r>
        <w:t>En définitive, aucun des griefs articulés par le recourant ne peut être retenu de sorte que les recours doivent être rejetés et les décisions entreprises du 5 février 2021 confirmées.</w:t>
      </w:r>
    </w:p>
    <w:p>
      <w:r>
        <w:rPr>
          <w:b/>
        </w:rPr>
        <w:t>E. 6.2</w:t>
      </w:r>
    </w:p>
    <w:p>
      <w:r>
        <w:t>Par décision présidentielle du 19 avril 2021 (S3 21 34), l’intéressé a été mis au bénéfice de l’assistance judiciaire partielle limitée à la dispense de l’avance des frais et de l’émolument pour la procédure de recours (art. 3 al. 1 let. a et b LAJ ; loi du 11 février 2009 sur l’assistance judiciaire). Conformément à l’article 8 alinéa 1 lettre b LAJ, lorsque l’assisté succombe, les frais de procédure sont mis à la charge de la collectivité. Les frais de justice, sous la forme d’un émolument de jugement de 800 francs, au regard des principes de la couverture des coûts et de l’équivalence, sont ainsi mis à la charge du recourant mais sont provisoirement supportés par l’Etat du Valais au titre de l’assistance judiciaire (art. 8 al. 1 let. b LAJ et 69 al. 1bis LAI). A cet égard, le recourant est rendu attentif au fait qu’il devra rembourser l’Etat du Valais s’il devient ultérieurement en mesure de le faire (art. 10 LAJ et RVJ 2000 p. 152).</w:t>
      </w:r>
    </w:p>
    <w:p>
      <w:r>
        <w:t>- 13 -</w:t>
      </w:r>
    </w:p>
    <w:p>
      <w:r>
        <w:t>Prononce</w:t>
      </w:r>
    </w:p>
    <w:p>
      <w:r>
        <w:t>1. Le recours est rejeté. 2. Les frais, par 800 francs, sont mis à la charge de X _________, mais sont provisoirement supportés par l’État du Valais au titre de l'assistance judiciaire.</w:t>
      </w:r>
    </w:p>
    <w:p>
      <w:r>
        <w:t>Sion, le 24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